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DD8F4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 w14:paraId="22EBB0DD">
      <w:pPr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报价单</w:t>
      </w:r>
    </w:p>
    <w:p w14:paraId="5916881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一、项目名称：福州市校园餐监管能</w:t>
      </w:r>
      <w:bookmarkStart w:id="3" w:name="_GoBack"/>
      <w:bookmarkEnd w:id="3"/>
      <w:r>
        <w:rPr>
          <w:rFonts w:hint="eastAsia" w:ascii="仿宋" w:hAnsi="仿宋" w:eastAsia="仿宋"/>
          <w:sz w:val="28"/>
          <w:szCs w:val="28"/>
        </w:rPr>
        <w:t>力提升服务</w:t>
      </w:r>
    </w:p>
    <w:p w14:paraId="5C6CB4E5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二、本项目预算最高限价50万元，报价超出最高限价视为无效报价。</w:t>
      </w:r>
    </w:p>
    <w:p w14:paraId="1F152CC2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三、服务期：1年。</w:t>
      </w:r>
    </w:p>
    <w:p w14:paraId="506FE2C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四、项目报价</w:t>
      </w:r>
    </w:p>
    <w:p w14:paraId="58293B94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单位：人民币/元</w:t>
      </w:r>
    </w:p>
    <w:tbl>
      <w:tblPr>
        <w:tblStyle w:val="1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17"/>
        <w:gridCol w:w="2875"/>
        <w:gridCol w:w="549"/>
        <w:gridCol w:w="768"/>
        <w:gridCol w:w="993"/>
        <w:gridCol w:w="942"/>
        <w:gridCol w:w="658"/>
      </w:tblGrid>
      <w:tr w14:paraId="26CCD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8FF2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bookmarkStart w:id="0" w:name="RANGE!A1"/>
            <w:bookmarkStart w:id="1" w:name="_Hlk234851786"/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序号</w:t>
            </w:r>
            <w:bookmarkEnd w:id="0"/>
          </w:p>
        </w:tc>
        <w:tc>
          <w:tcPr>
            <w:tcW w:w="4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0344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服务项目</w:t>
            </w:r>
          </w:p>
        </w:tc>
        <w:tc>
          <w:tcPr>
            <w:tcW w:w="17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391B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服务要求</w:t>
            </w:r>
          </w:p>
        </w:tc>
        <w:tc>
          <w:tcPr>
            <w:tcW w:w="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908B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4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0576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50AA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单价（元）</w:t>
            </w:r>
          </w:p>
        </w:tc>
        <w:tc>
          <w:tcPr>
            <w:tcW w:w="5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7014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小计（元）</w:t>
            </w: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92C1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服务范围</w:t>
            </w:r>
          </w:p>
        </w:tc>
      </w:tr>
      <w:tr w14:paraId="783CC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1157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一</w:t>
            </w:r>
          </w:p>
        </w:tc>
        <w:tc>
          <w:tcPr>
            <w:tcW w:w="4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11B0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监管基础数据采集处理</w:t>
            </w:r>
          </w:p>
        </w:tc>
        <w:tc>
          <w:tcPr>
            <w:tcW w:w="17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66FC6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采集全市847所供餐学校（包括自主经营、委托经营食堂学校、校外供餐学校）涉及校园餐监管的日常业务数据，包括采买登记、陪餐监管、留样监管、用餐快报、食谱预告、校外配餐六大部分，对采购资金、陪餐留样落实情况、用餐学生人数、校外供餐签收情况实行常态化监管。采集后对数据进行电子化归档管理，方便各级用户随时查询，数据保存时间要求五年以上。采集频率为每日一次，学校周末及节假日除外。</w:t>
            </w:r>
          </w:p>
        </w:tc>
        <w:tc>
          <w:tcPr>
            <w:tcW w:w="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ADA6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847</w:t>
            </w:r>
          </w:p>
        </w:tc>
        <w:tc>
          <w:tcPr>
            <w:tcW w:w="4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A0C6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所/年</w:t>
            </w: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A4A2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B43E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90CC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全市供餐学校</w:t>
            </w:r>
          </w:p>
        </w:tc>
      </w:tr>
      <w:tr w14:paraId="3CD5C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09AA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二</w:t>
            </w:r>
          </w:p>
        </w:tc>
        <w:tc>
          <w:tcPr>
            <w:tcW w:w="4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A3D5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监管督报数据统计服务</w:t>
            </w:r>
          </w:p>
        </w:tc>
        <w:tc>
          <w:tcPr>
            <w:tcW w:w="17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9E7C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为福州全市各级教育主管部门提供监管督报数据统计服务，主要内容包括：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（1）每周基于监管基础数据为各县梳理分析形成监管周报，方便各县教育开展督报工作。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（2）基于监管基础数据，每周、每月、每学期统计梳理全市各区县填报率排行数据，方便市局开展督报工作。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3）基于学校基础数据为各区县梳理分析形成监管摘要，支持区县按食堂性质（营养改善计划食堂、自主经营食堂、委托经营食堂、校外供餐）查看辖区内学校的总体概况，包括食堂基本信息、从业人员、学生情况、采购进货、近7七天留样率、用餐人数、陪餐评价等内容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（4）每月基于监管基础数据，分析统计各县学校食堂经营模式情况、供应商异动情况和供应商配送资金量情况，并形成报表。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（5）根据市教育局要求，不定期向学校公告校园餐食品安全相关风险预警信息。</w:t>
            </w:r>
          </w:p>
        </w:tc>
        <w:tc>
          <w:tcPr>
            <w:tcW w:w="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CA70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0A94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项/年</w:t>
            </w: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B250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7FFF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2933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全市各县（含市属）</w:t>
            </w:r>
          </w:p>
        </w:tc>
      </w:tr>
      <w:tr w14:paraId="4BA87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FF24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三</w:t>
            </w:r>
          </w:p>
        </w:tc>
        <w:tc>
          <w:tcPr>
            <w:tcW w:w="4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E334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校园食安业务数据采集处理</w:t>
            </w:r>
          </w:p>
        </w:tc>
        <w:tc>
          <w:tcPr>
            <w:tcW w:w="17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13DED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为福州79所市属学校提供校园食安业务相关数据的采集处理服务，主要内容包括：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（1）每月采集一次市属学校负面清单事项量化考核评分表数据，采集后对数据进行电子化归档管理，并统计填报情况，方便各级用户随时查询，数据保存时间要求五年以上。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2）每学期采集一次市属学校食品安全专项行动学生摸底表、校园膳食监督家长委员会成员名单、校园膳食监督家长委员会信息汇总表，采集后对数据进行电子化归档管理，并统计填报情况，方便各级用户随时查询，数据保存时间要求五年以上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（3）每学期采集一次校园膳食监督家长委员会信息数据，采集后对数据进行电子化归档管理，并统计填报情况，方便各级用户随时查询，数据保存时间要求五年以上。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（4）每月采集一次学校备案的检查记录数据，按区县、按校汇总统计备案次数，从而为后续督查检查工作提供方向。</w:t>
            </w:r>
          </w:p>
        </w:tc>
        <w:tc>
          <w:tcPr>
            <w:tcW w:w="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1637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4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2D40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所/年</w:t>
            </w:r>
          </w:p>
        </w:tc>
        <w:tc>
          <w:tcPr>
            <w:tcW w:w="5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D147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7FA9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5645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市属学校</w:t>
            </w:r>
          </w:p>
        </w:tc>
      </w:tr>
      <w:tr w14:paraId="59B04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5E41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bookmarkStart w:id="2" w:name="RANGE!A6"/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四</w:t>
            </w:r>
            <w:bookmarkEnd w:id="2"/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BCB2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学校膳食经费数据采集处理</w:t>
            </w:r>
          </w:p>
        </w:tc>
        <w:tc>
          <w:tcPr>
            <w:tcW w:w="1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D629E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为福州62所市属学校（自主经营和委托经营食堂学校）提供学校膳食经费数据采集处理服务，主要内容包括：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（1）每月采集一次学校食材出入库数据和财务账数据，采集后对数据进行电子化处理，并统计学校每月填报情况，方便市教育局随时查询，为教育局提供常态化监管手段，数据保存时间要求五年以上。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（2）每月基于采集的财务账数据，对学校食堂毛利率进行分析，并形成分析结果，方便市教育局对超出预警阈值的学校进行及时管控。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（3）每月基于采集的出入库数据和管控食材清单，对学校是否使用违规食材进行分析，并形成分析结果，方便市教育局及时管控。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（4）每月出具一份食材占比分析报告，按肉制品、冻品、果蔬、米面、水产品、调料、蛋奶、食用油、豆制品食材分类统计辖区内学校平均采购占比和平均采购金额，横向对比，评估各校饮食结构合理性。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D443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F569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所/年</w:t>
            </w:r>
          </w:p>
        </w:tc>
        <w:tc>
          <w:tcPr>
            <w:tcW w:w="5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9997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0AC4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D7E3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市属学校（自主经营和委托经营食堂学校）</w:t>
            </w:r>
          </w:p>
        </w:tc>
      </w:tr>
      <w:tr w14:paraId="54CAA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4E52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五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7ADC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大数据可视化服务</w:t>
            </w:r>
          </w:p>
        </w:tc>
        <w:tc>
          <w:tcPr>
            <w:tcW w:w="1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3B137"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（1）基础模块可视化服务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基于各县监管基础数据提炼分析，并结合数据可视化技术呈现基础模块数据看板，展示学校每日填报率、上周填报率（各县）、本学期日均餐标、本学期采购金额及用餐人数等数据统计结果，并实时轮播学校陪餐、留样照片。数据统计纬度支持按营养改善计划学校、自主经营学校、委托经营学校、校外配餐学校等不同维度分开统计，辅助各级做好校园餐日常监管工作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（2）陪餐专题可视化服务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基于各县陪餐数据提炼分析，并结合数据可视化技术呈现陪餐数据看板，展示辖区内学校每日陪餐工作落实情况，包括食堂概况、今日填报完成率、今日已陪餐学校、今日未陪餐学校、陪餐排行版、陪餐动态、综合评分等，提升监管效率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（3）膳食经费风险预警可视化服务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基于福州市属学校日常报账数据提炼分析，并结合数据可视化技术呈现膳食经费风险预警数据看板，分析识别学校食堂利润率超标、食材采购占比不合理、使用违规管控食材等违规行为并形成风险预警清单，方便用户及时发现、跟踪、管控。结合图表展示膳食经费各维度分析结果，例如食堂收支、收入占比、出入库分析、报账进度等。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2951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DCAC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项/年</w:t>
            </w:r>
          </w:p>
        </w:tc>
        <w:tc>
          <w:tcPr>
            <w:tcW w:w="5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8013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3702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335F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全市各县（含市属）</w:t>
            </w:r>
          </w:p>
        </w:tc>
      </w:tr>
      <w:tr w14:paraId="3AADC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D272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六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3034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校园餐满意度调查服务</w:t>
            </w:r>
          </w:p>
        </w:tc>
        <w:tc>
          <w:tcPr>
            <w:tcW w:w="1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11F4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提供校园餐满意度调查服务，调查内容包括学校、年级、身份（学生、家长、老师、群众）、就餐环境是否整洁、餐具是否干净、饭菜是否吃的饱、食材是否新鲜、饭菜是否可口、餐费是否合理、总体评价满意度、意见建议（选填）。调查频次为每季度1次，一年共4次，全市13个县区，每次每个区县各抽2个学校，每次按2W条调查数据预估。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A671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2F92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项/年</w:t>
            </w:r>
          </w:p>
        </w:tc>
        <w:tc>
          <w:tcPr>
            <w:tcW w:w="5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D8A9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A7D8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E603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502C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7709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七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830B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人员驻点服务</w:t>
            </w:r>
          </w:p>
        </w:tc>
        <w:tc>
          <w:tcPr>
            <w:tcW w:w="17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1DC1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服务期内，安排1名人员驻点保障校园餐监管业务工作开展，解答学校关于校园餐业务的相关咨询问题，协助业主处理其他相关工作。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4F84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5B64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项/年</w:t>
            </w:r>
          </w:p>
        </w:tc>
        <w:tc>
          <w:tcPr>
            <w:tcW w:w="5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F813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CDB4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4BA0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DD79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9B45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  <w:t>报价总价：                        元整（大写） ￥         （小写）</w:t>
            </w:r>
          </w:p>
        </w:tc>
      </w:tr>
      <w:bookmarkEnd w:id="1"/>
    </w:tbl>
    <w:p w14:paraId="0C20B7D0">
      <w:pPr>
        <w:rPr>
          <w:rFonts w:hint="eastAsia" w:ascii="仿宋" w:hAnsi="仿宋" w:eastAsia="仿宋"/>
          <w:sz w:val="28"/>
          <w:szCs w:val="28"/>
        </w:rPr>
      </w:pPr>
    </w:p>
    <w:p w14:paraId="14903660">
      <w:pPr>
        <w:rPr>
          <w:rFonts w:hint="eastAsia" w:ascii="仿宋" w:hAnsi="仿宋" w:eastAsia="仿宋"/>
          <w:sz w:val="28"/>
          <w:szCs w:val="28"/>
        </w:rPr>
      </w:pPr>
    </w:p>
    <w:p w14:paraId="63573F62">
      <w:pPr>
        <w:rPr>
          <w:rFonts w:hint="eastAsia" w:ascii="仿宋" w:hAnsi="仿宋" w:eastAsia="仿宋"/>
          <w:sz w:val="28"/>
          <w:szCs w:val="28"/>
        </w:rPr>
      </w:pPr>
    </w:p>
    <w:p w14:paraId="76F62002">
      <w:pPr>
        <w:rPr>
          <w:rFonts w:hint="eastAsia" w:ascii="仿宋" w:hAnsi="仿宋" w:eastAsia="仿宋"/>
          <w:sz w:val="28"/>
          <w:szCs w:val="28"/>
        </w:rPr>
      </w:pPr>
    </w:p>
    <w:p w14:paraId="65FB2EE5">
      <w:pPr>
        <w:rPr>
          <w:rFonts w:hint="eastAsia" w:ascii="仿宋" w:hAnsi="仿宋" w:eastAsia="仿宋"/>
          <w:sz w:val="28"/>
          <w:szCs w:val="28"/>
        </w:rPr>
      </w:pPr>
    </w:p>
    <w:p w14:paraId="5340C4BD">
      <w:pPr>
        <w:rPr>
          <w:rFonts w:hint="eastAsia" w:ascii="仿宋" w:hAnsi="仿宋" w:eastAsia="仿宋"/>
          <w:sz w:val="28"/>
          <w:szCs w:val="28"/>
        </w:rPr>
      </w:pPr>
    </w:p>
    <w:p w14:paraId="1EBA50A7">
      <w:pPr>
        <w:rPr>
          <w:rFonts w:hint="eastAsia" w:ascii="仿宋" w:hAnsi="仿宋" w:eastAsia="仿宋"/>
          <w:sz w:val="28"/>
          <w:szCs w:val="28"/>
        </w:rPr>
      </w:pPr>
    </w:p>
    <w:p w14:paraId="70AA28DE">
      <w:pPr>
        <w:rPr>
          <w:rFonts w:hint="eastAsia" w:ascii="仿宋" w:hAnsi="仿宋" w:eastAsia="仿宋"/>
          <w:sz w:val="28"/>
          <w:szCs w:val="28"/>
        </w:rPr>
      </w:pPr>
    </w:p>
    <w:p w14:paraId="149BB966">
      <w:pPr>
        <w:rPr>
          <w:rFonts w:hint="eastAsia" w:ascii="仿宋" w:hAnsi="仿宋" w:eastAsia="仿宋"/>
          <w:sz w:val="28"/>
          <w:szCs w:val="28"/>
        </w:rPr>
      </w:pPr>
    </w:p>
    <w:p w14:paraId="4BA65C62">
      <w:pPr>
        <w:rPr>
          <w:rFonts w:hint="eastAsia" w:ascii="仿宋" w:hAnsi="仿宋" w:eastAsia="仿宋"/>
          <w:sz w:val="28"/>
          <w:szCs w:val="28"/>
        </w:rPr>
      </w:pPr>
    </w:p>
    <w:p w14:paraId="005E9DD9">
      <w:pPr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报价单位（全称加盖公章）：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</w:t>
      </w:r>
    </w:p>
    <w:p w14:paraId="686A8D4D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联系人：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</w:t>
      </w:r>
    </w:p>
    <w:p w14:paraId="3E3DD0FA">
      <w:pPr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4B7274DA-D187-4E41-A884-35CF7C949F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7E6D09C-E5E9-4AE0-AE0D-0C539791F45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9D6A82"/>
    <w:multiLevelType w:val="multilevel"/>
    <w:tmpl w:val="209D6A82"/>
    <w:lvl w:ilvl="0" w:tentative="0">
      <w:start w:val="1"/>
      <w:numFmt w:val="chineseCountingThousand"/>
      <w:pStyle w:val="2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isLgl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pStyle w:val="8"/>
      <w:isLgl/>
      <w:lvlText w:val="%7、"/>
      <w:lvlJc w:val="left"/>
      <w:pPr>
        <w:ind w:left="0" w:firstLine="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lang w:val="zh-CN" w:eastAsia="zh-CN"/>
      </w:rPr>
    </w:lvl>
    <w:lvl w:ilvl="7" w:tentative="0">
      <w:start w:val="1"/>
      <w:numFmt w:val="decimal"/>
      <w:pStyle w:val="9"/>
      <w:isLgl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pStyle w:val="10"/>
      <w:lvlText w:val="（%9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5D"/>
    <w:rsid w:val="0015491B"/>
    <w:rsid w:val="00162174"/>
    <w:rsid w:val="001C03D8"/>
    <w:rsid w:val="00223BD6"/>
    <w:rsid w:val="002B3A49"/>
    <w:rsid w:val="002F66F1"/>
    <w:rsid w:val="00404892"/>
    <w:rsid w:val="004366B7"/>
    <w:rsid w:val="00451FEB"/>
    <w:rsid w:val="00455E56"/>
    <w:rsid w:val="004B54C2"/>
    <w:rsid w:val="00515BD1"/>
    <w:rsid w:val="00695379"/>
    <w:rsid w:val="00730276"/>
    <w:rsid w:val="007C6CAB"/>
    <w:rsid w:val="007E411F"/>
    <w:rsid w:val="007E7B97"/>
    <w:rsid w:val="007F5232"/>
    <w:rsid w:val="008B6AC7"/>
    <w:rsid w:val="008B720D"/>
    <w:rsid w:val="009147EB"/>
    <w:rsid w:val="009D79CC"/>
    <w:rsid w:val="00A0065D"/>
    <w:rsid w:val="00A76EF2"/>
    <w:rsid w:val="00A9384D"/>
    <w:rsid w:val="00B44781"/>
    <w:rsid w:val="00B66D7F"/>
    <w:rsid w:val="00B75C26"/>
    <w:rsid w:val="00BB5C55"/>
    <w:rsid w:val="00CB70E3"/>
    <w:rsid w:val="00E12803"/>
    <w:rsid w:val="00E817DE"/>
    <w:rsid w:val="00EF548C"/>
    <w:rsid w:val="00FD4740"/>
    <w:rsid w:val="74E7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华文中宋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pageBreakBefore/>
      <w:numPr>
        <w:ilvl w:val="0"/>
        <w:numId w:val="1"/>
      </w:numPr>
      <w:spacing w:before="340" w:after="330"/>
      <w:jc w:val="center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1"/>
    <w:qFormat/>
    <w:uiPriority w:val="0"/>
    <w:pPr>
      <w:keepNext/>
      <w:keepLines/>
      <w:numPr>
        <w:ilvl w:val="1"/>
        <w:numId w:val="1"/>
      </w:numPr>
      <w:tabs>
        <w:tab w:val="left" w:pos="709"/>
      </w:tabs>
      <w:spacing w:before="260" w:after="260" w:line="415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link w:val="23"/>
    <w:qFormat/>
    <w:uiPriority w:val="0"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qFormat/>
    <w:uiPriority w:val="0"/>
    <w:pPr>
      <w:keepNext/>
      <w:keepLines/>
      <w:numPr>
        <w:ilvl w:val="3"/>
        <w:numId w:val="1"/>
      </w:numPr>
      <w:tabs>
        <w:tab w:val="left" w:pos="993"/>
      </w:tabs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7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b/>
      <w:bCs/>
      <w:sz w:val="28"/>
    </w:rPr>
  </w:style>
  <w:style w:type="paragraph" w:styleId="8">
    <w:name w:val="heading 7"/>
    <w:basedOn w:val="1"/>
    <w:next w:val="1"/>
    <w:link w:val="31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3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sz w:val="24"/>
    </w:rPr>
  </w:style>
  <w:style w:type="paragraph" w:styleId="10">
    <w:name w:val="heading 9"/>
    <w:basedOn w:val="1"/>
    <w:next w:val="1"/>
    <w:link w:val="35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sz w:val="24"/>
      <w:szCs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2">
    <w:name w:val="head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41"/>
    <w:qFormat/>
    <w:uiPriority w:val="11"/>
    <w:pPr>
      <w:spacing w:before="240" w:after="60" w:line="312" w:lineRule="auto"/>
      <w:jc w:val="center"/>
      <w:outlineLvl w:val="1"/>
    </w:pPr>
    <w:rPr>
      <w:rFonts w:ascii="等线 Light" w:hAnsi="等线 Light" w:eastAsia="宋体"/>
      <w:b/>
      <w:bCs/>
      <w:kern w:val="28"/>
      <w:sz w:val="32"/>
      <w:szCs w:val="32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customStyle="1" w:styleId="18">
    <w:name w:val="标题 1 字符"/>
    <w:basedOn w:val="16"/>
    <w:qFormat/>
    <w:uiPriority w:val="9"/>
    <w:rPr>
      <w:rFonts w:ascii="Times New Roman" w:hAnsi="Times New Roman" w:eastAsia="华文中宋" w:cs="Times New Roman"/>
      <w:b/>
      <w:bCs/>
      <w:kern w:val="44"/>
      <w:sz w:val="44"/>
      <w:szCs w:val="44"/>
    </w:rPr>
  </w:style>
  <w:style w:type="character" w:customStyle="1" w:styleId="19">
    <w:name w:val="标题 1 字符1"/>
    <w:link w:val="2"/>
    <w:qFormat/>
    <w:uiPriority w:val="0"/>
    <w:rPr>
      <w:rFonts w:ascii="Times New Roman" w:hAnsi="Times New Roman" w:eastAsia="华文中宋" w:cs="Times New Roman"/>
      <w:b/>
      <w:bCs/>
      <w:kern w:val="44"/>
      <w:sz w:val="44"/>
      <w:szCs w:val="44"/>
      <w:lang w:val="zh-CN" w:eastAsia="zh-CN"/>
    </w:rPr>
  </w:style>
  <w:style w:type="character" w:customStyle="1" w:styleId="20">
    <w:name w:val="标题 2 字符"/>
    <w:basedOn w:val="16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字符1"/>
    <w:link w:val="3"/>
    <w:qFormat/>
    <w:uiPriority w:val="0"/>
    <w:rPr>
      <w:rFonts w:ascii="Times New Roman" w:hAnsi="Times New Roman" w:eastAsia="华文中宋" w:cs="Times New Roman"/>
      <w:b/>
      <w:bCs/>
      <w:sz w:val="32"/>
      <w:szCs w:val="32"/>
    </w:rPr>
  </w:style>
  <w:style w:type="character" w:customStyle="1" w:styleId="22">
    <w:name w:val="标题 3 字符"/>
    <w:basedOn w:val="16"/>
    <w:semiHidden/>
    <w:qFormat/>
    <w:uiPriority w:val="9"/>
    <w:rPr>
      <w:rFonts w:ascii="Times New Roman" w:hAnsi="Times New Roman" w:eastAsia="华文中宋" w:cs="Times New Roman"/>
      <w:b/>
      <w:bCs/>
      <w:sz w:val="32"/>
      <w:szCs w:val="32"/>
    </w:rPr>
  </w:style>
  <w:style w:type="character" w:customStyle="1" w:styleId="23">
    <w:name w:val="标题 3 字符1"/>
    <w:link w:val="4"/>
    <w:qFormat/>
    <w:uiPriority w:val="0"/>
    <w:rPr>
      <w:rFonts w:ascii="Times New Roman" w:hAnsi="Times New Roman" w:eastAsia="华文中宋" w:cs="Times New Roman"/>
      <w:b/>
      <w:bCs/>
      <w:sz w:val="32"/>
      <w:szCs w:val="32"/>
    </w:rPr>
  </w:style>
  <w:style w:type="character" w:customStyle="1" w:styleId="24">
    <w:name w:val="标题 4 字符"/>
    <w:basedOn w:val="16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5">
    <w:name w:val="标题 4 字符1"/>
    <w:link w:val="5"/>
    <w:qFormat/>
    <w:uiPriority w:val="0"/>
    <w:rPr>
      <w:rFonts w:ascii="Times New Roman" w:hAnsi="Times New Roman" w:eastAsia="华文中宋" w:cs="Times New Roman"/>
      <w:b/>
      <w:bCs/>
      <w:sz w:val="28"/>
      <w:szCs w:val="28"/>
    </w:rPr>
  </w:style>
  <w:style w:type="character" w:customStyle="1" w:styleId="26">
    <w:name w:val="标题 5 字符"/>
    <w:basedOn w:val="16"/>
    <w:semiHidden/>
    <w:qFormat/>
    <w:uiPriority w:val="9"/>
    <w:rPr>
      <w:rFonts w:ascii="Times New Roman" w:hAnsi="Times New Roman" w:eastAsia="华文中宋" w:cs="Times New Roman"/>
      <w:b/>
      <w:bCs/>
      <w:sz w:val="28"/>
      <w:szCs w:val="28"/>
    </w:rPr>
  </w:style>
  <w:style w:type="character" w:customStyle="1" w:styleId="27">
    <w:name w:val="标题 5 字符1"/>
    <w:link w:val="6"/>
    <w:qFormat/>
    <w:uiPriority w:val="0"/>
    <w:rPr>
      <w:rFonts w:ascii="Times New Roman" w:hAnsi="Times New Roman" w:eastAsia="华文中宋" w:cs="Times New Roman"/>
      <w:b/>
      <w:bCs/>
      <w:sz w:val="28"/>
      <w:szCs w:val="28"/>
    </w:rPr>
  </w:style>
  <w:style w:type="character" w:customStyle="1" w:styleId="28">
    <w:name w:val="标题 6 字符"/>
    <w:basedOn w:val="16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9">
    <w:name w:val="标题 6 字符1"/>
    <w:link w:val="7"/>
    <w:qFormat/>
    <w:uiPriority w:val="0"/>
    <w:rPr>
      <w:rFonts w:ascii="Times New Roman" w:hAnsi="Times New Roman" w:eastAsia="华文中宋" w:cs="Times New Roman"/>
      <w:b/>
      <w:bCs/>
      <w:sz w:val="28"/>
      <w:szCs w:val="24"/>
    </w:rPr>
  </w:style>
  <w:style w:type="character" w:customStyle="1" w:styleId="30">
    <w:name w:val="标题 7 字符"/>
    <w:basedOn w:val="16"/>
    <w:semiHidden/>
    <w:qFormat/>
    <w:uiPriority w:val="9"/>
    <w:rPr>
      <w:rFonts w:ascii="Times New Roman" w:hAnsi="Times New Roman" w:eastAsia="华文中宋" w:cs="Times New Roman"/>
      <w:b/>
      <w:bCs/>
      <w:sz w:val="24"/>
      <w:szCs w:val="24"/>
    </w:rPr>
  </w:style>
  <w:style w:type="character" w:customStyle="1" w:styleId="31">
    <w:name w:val="标题 7 字符1"/>
    <w:link w:val="8"/>
    <w:qFormat/>
    <w:uiPriority w:val="0"/>
    <w:rPr>
      <w:rFonts w:ascii="Times New Roman" w:hAnsi="Times New Roman" w:eastAsia="华文中宋" w:cs="Times New Roman"/>
      <w:b/>
      <w:bCs/>
      <w:sz w:val="24"/>
      <w:szCs w:val="24"/>
    </w:rPr>
  </w:style>
  <w:style w:type="character" w:customStyle="1" w:styleId="32">
    <w:name w:val="标题 8 字符"/>
    <w:basedOn w:val="16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标题 8 字符1"/>
    <w:link w:val="9"/>
    <w:qFormat/>
    <w:uiPriority w:val="0"/>
    <w:rPr>
      <w:rFonts w:ascii="Times New Roman" w:hAnsi="Times New Roman" w:eastAsia="华文中宋" w:cs="Times New Roman"/>
      <w:sz w:val="24"/>
      <w:szCs w:val="24"/>
    </w:rPr>
  </w:style>
  <w:style w:type="character" w:customStyle="1" w:styleId="34">
    <w:name w:val="标题 9 字符"/>
    <w:basedOn w:val="16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5">
    <w:name w:val="标题 9 字符1"/>
    <w:link w:val="10"/>
    <w:qFormat/>
    <w:uiPriority w:val="0"/>
    <w:rPr>
      <w:rFonts w:ascii="Times New Roman" w:hAnsi="Times New Roman" w:eastAsia="华文中宋" w:cs="Times New Roman"/>
      <w:sz w:val="24"/>
      <w:szCs w:val="21"/>
    </w:rPr>
  </w:style>
  <w:style w:type="paragraph" w:customStyle="1" w:styleId="36">
    <w:name w:val="表格标题"/>
    <w:basedOn w:val="1"/>
    <w:link w:val="37"/>
    <w:qFormat/>
    <w:uiPriority w:val="0"/>
    <w:pPr>
      <w:jc w:val="center"/>
    </w:pPr>
    <w:rPr>
      <w:b/>
    </w:rPr>
  </w:style>
  <w:style w:type="character" w:customStyle="1" w:styleId="37">
    <w:name w:val="表格标题 Char"/>
    <w:link w:val="36"/>
    <w:qFormat/>
    <w:locked/>
    <w:uiPriority w:val="0"/>
    <w:rPr>
      <w:rFonts w:ascii="Times New Roman" w:hAnsi="Times New Roman" w:eastAsia="华文中宋" w:cs="Times New Roman"/>
      <w:b/>
      <w:szCs w:val="24"/>
    </w:rPr>
  </w:style>
  <w:style w:type="paragraph" w:customStyle="1" w:styleId="38">
    <w:name w:val="表格文字"/>
    <w:basedOn w:val="1"/>
    <w:link w:val="39"/>
    <w:qFormat/>
    <w:uiPriority w:val="0"/>
    <w:pPr>
      <w:jc w:val="center"/>
    </w:pPr>
  </w:style>
  <w:style w:type="character" w:customStyle="1" w:styleId="39">
    <w:name w:val="表格文字 Char"/>
    <w:link w:val="38"/>
    <w:qFormat/>
    <w:locked/>
    <w:uiPriority w:val="0"/>
    <w:rPr>
      <w:rFonts w:ascii="Times New Roman" w:hAnsi="Times New Roman" w:eastAsia="华文中宋" w:cs="Times New Roman"/>
      <w:szCs w:val="24"/>
    </w:rPr>
  </w:style>
  <w:style w:type="character" w:customStyle="1" w:styleId="40">
    <w:name w:val="副标题 字符"/>
    <w:basedOn w:val="16"/>
    <w:qFormat/>
    <w:uiPriority w:val="11"/>
    <w:rPr>
      <w:b/>
      <w:bCs/>
      <w:kern w:val="28"/>
      <w:sz w:val="32"/>
      <w:szCs w:val="32"/>
    </w:rPr>
  </w:style>
  <w:style w:type="character" w:customStyle="1" w:styleId="41">
    <w:name w:val="副标题 字符1"/>
    <w:link w:val="13"/>
    <w:qFormat/>
    <w:uiPriority w:val="11"/>
    <w:rPr>
      <w:rFonts w:ascii="等线 Light" w:hAnsi="等线 Light" w:eastAsia="宋体" w:cs="Times New Roman"/>
      <w:b/>
      <w:bCs/>
      <w:kern w:val="28"/>
      <w:sz w:val="32"/>
      <w:szCs w:val="32"/>
    </w:rPr>
  </w:style>
  <w:style w:type="paragraph" w:styleId="42">
    <w:name w:val="List Paragraph"/>
    <w:basedOn w:val="1"/>
    <w:qFormat/>
    <w:uiPriority w:val="34"/>
    <w:pPr>
      <w:ind w:firstLine="420" w:firstLineChars="200"/>
    </w:pPr>
  </w:style>
  <w:style w:type="character" w:customStyle="1" w:styleId="43">
    <w:name w:val="页眉 字符"/>
    <w:basedOn w:val="16"/>
    <w:link w:val="12"/>
    <w:qFormat/>
    <w:uiPriority w:val="99"/>
    <w:rPr>
      <w:rFonts w:ascii="Times New Roman" w:hAnsi="Times New Roman" w:eastAsia="华文中宋" w:cs="Times New Roman"/>
      <w:sz w:val="18"/>
      <w:szCs w:val="18"/>
    </w:rPr>
  </w:style>
  <w:style w:type="character" w:customStyle="1" w:styleId="44">
    <w:name w:val="页脚 字符"/>
    <w:basedOn w:val="16"/>
    <w:link w:val="11"/>
    <w:qFormat/>
    <w:uiPriority w:val="99"/>
    <w:rPr>
      <w:rFonts w:ascii="Times New Roman" w:hAnsi="Times New Roman" w:eastAsia="华文中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2174</Words>
  <Characters>2187</Characters>
  <Lines>171</Lines>
  <Paragraphs>61</Paragraphs>
  <TotalTime>66</TotalTime>
  <ScaleCrop>false</ScaleCrop>
  <LinksUpToDate>false</LinksUpToDate>
  <CharactersWithSpaces>2290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2026-07-21T03:09:00Z</dcterms:created>
  <dc:creator>win10</dc:creator>
  <cp:lastModifiedBy>        </cp:lastModifiedBy>
  <dcterms:modified xsi:type="dcterms:W3CDTF">2026-08-07T02:51:55Z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eyJoZGlkIjoiOWQ2ZWExMDIwMTAyNTlkY2I3MDQ0MGE2NzkwYzQ5NGQiLCJ1c2VySWQiOiIyMTM3NjE4NTAifQ==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87CACB1378A04382BF543BFA4F8749F9_12</vt:lpwstr>
  </property>
</Properties>
</file>