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7EE4B2">
      <w:pPr>
        <w:pStyle w:val="3"/>
        <w:keepNext/>
        <w:keepLines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240" w:lineRule="auto"/>
        <w:jc w:val="center"/>
        <w:textAlignment w:val="auto"/>
        <w:rPr>
          <w:color w:val="auto"/>
        </w:rPr>
      </w:pPr>
      <w:r>
        <w:rPr>
          <w:rFonts w:hint="eastAsia" w:ascii="方正小标宋简体" w:hAnsi="方正小标宋简体" w:eastAsia="方正小标宋简体" w:cs="方正小标宋简体"/>
          <w:b/>
          <w:color w:val="auto"/>
          <w:sz w:val="32"/>
          <w:szCs w:val="32"/>
          <w:lang w:eastAsia="zh-CN"/>
        </w:rPr>
        <w:t>福州市教育城域网数字教育资源运营服务采购需求</w:t>
      </w:r>
    </w:p>
    <w:p w14:paraId="42288D96">
      <w:pPr>
        <w:pStyle w:val="4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一、项目概述</w:t>
      </w:r>
    </w:p>
    <w:p w14:paraId="70E4EAA9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 w:eastAsia="仿宋" w:cs="仿宋"/>
          <w:color w:val="auto"/>
          <w:sz w:val="28"/>
          <w:lang w:eastAsia="zh-CN"/>
        </w:rPr>
        <w:t>本项目为福州市教育城域网数字教育资源运营服务采购项目，面向全市各级各类学校教师和在校学生，以统一运营、持续服务的方式提供学术文献与教师科研支持、综合知识资源与数字阅读、人工智能赋能教学教研、设计类数字学习资源等四类数字资源服务，为教师备课教学、教育科研、课题研究、论文写作、专业发展以及学生数字阅读、自主学习和实践创作提供支撑，进一步提升全市教育数字资源的供给质量、使用效率和服务水平。</w:t>
      </w:r>
    </w:p>
    <w:p w14:paraId="164B453A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 w:eastAsia="仿宋" w:cs="仿宋"/>
          <w:color w:val="auto"/>
          <w:sz w:val="28"/>
          <w:lang w:eastAsia="zh-CN"/>
        </w:rPr>
        <w:t>服务对象为福州市各级各类学校教师及在校学生；服务方式以互联网在线服务为主，支持与福州市教育城域网、福州市教育局数字化资源平台对接，支持网页端、移动端等多种访问方式；服务期限自合同签订之日起一年。</w:t>
      </w:r>
    </w:p>
    <w:p w14:paraId="6F4398AD">
      <w:pPr>
        <w:pStyle w:val="4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二、采购内容一览表</w:t>
      </w:r>
    </w:p>
    <w:p w14:paraId="5DF4D3D5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 w:eastAsia="仿宋" w:cs="仿宋"/>
          <w:color w:val="auto"/>
          <w:sz w:val="28"/>
          <w:lang w:eastAsia="zh-CN"/>
        </w:rPr>
        <w:t>本项目采购内容共分四类服务，具体如下表所示。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2203"/>
        <w:gridCol w:w="4236"/>
        <w:gridCol w:w="678"/>
        <w:gridCol w:w="678"/>
      </w:tblGrid>
      <w:tr w14:paraId="703C0F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B10DF1D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</w:rPr>
              <w:t>序号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A4ADE2C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</w:rPr>
              <w:t>服务名称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0F86E99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</w:rPr>
              <w:t>主要内容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C2D9930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</w:rPr>
              <w:t>数量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 w:color="auto" w:fill="F2F2F2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9CCB810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黑体" w:hAnsi="黑体" w:eastAsia="黑体"/>
                <w:b/>
                <w:color w:val="auto"/>
                <w:sz w:val="24"/>
              </w:rPr>
              <w:t>单位</w:t>
            </w:r>
          </w:p>
        </w:tc>
      </w:tr>
      <w:tr w14:paraId="0AD26E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CE107EF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1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3E84C24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学术文献与教师科研支持服务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4E2227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文献检索与获取、期刊投稿分析、科研选题与写作辅助、学术相似性检测等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052867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1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D937EC1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套</w:t>
            </w:r>
          </w:p>
        </w:tc>
      </w:tr>
      <w:tr w14:paraId="2F1853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8C873B5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2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F7A988A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综合知识资源与数字阅读服务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CD242FA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综合知识资源库、基础教育数字资源与数字阅读、微课视频资源、在线组卷与使用数据分析等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CAEDE7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1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7EBA41DB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套</w:t>
            </w:r>
          </w:p>
        </w:tc>
      </w:tr>
      <w:tr w14:paraId="51F105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3720FBE0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3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076A4BC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人工智能赋能教学教研服务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67C7E48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智能检索与文献研读、教案学案与课件生成、作文智能批改、科研写作辅助、管理与统计分析等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066BA8A3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1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FD6EB2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套</w:t>
            </w:r>
          </w:p>
        </w:tc>
      </w:tr>
      <w:tr w14:paraId="4352C7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7AD20CB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4</w:t>
            </w:r>
          </w:p>
        </w:tc>
        <w:tc>
          <w:tcPr>
            <w:tcW w:w="13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EC4A8F6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设计类数字学习资源服务</w:t>
            </w:r>
          </w:p>
        </w:tc>
        <w:tc>
          <w:tcPr>
            <w:tcW w:w="25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A847AB0">
            <w:pPr>
              <w:spacing w:before="36" w:after="36" w:line="240" w:lineRule="auto"/>
              <w:jc w:val="left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设计类课程与图文教程、学习路径指引、素材资源下载、创作展示与数据统计等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4F950A67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1</w:t>
            </w:r>
          </w:p>
        </w:tc>
        <w:tc>
          <w:tcPr>
            <w:tcW w:w="40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6D21FD1">
            <w:pPr>
              <w:spacing w:before="36" w:after="36" w:line="240" w:lineRule="auto"/>
              <w:jc w:val="center"/>
              <w:rPr>
                <w:color w:val="auto"/>
              </w:rPr>
            </w:pPr>
            <w:r>
              <w:rPr>
                <w:rFonts w:hint="eastAsia" w:ascii="仿宋" w:hAnsi="仿宋" w:eastAsia="仿宋"/>
                <w:color w:val="auto"/>
                <w:sz w:val="24"/>
              </w:rPr>
              <w:t>套</w:t>
            </w:r>
          </w:p>
        </w:tc>
      </w:tr>
    </w:tbl>
    <w:p w14:paraId="5EC63C41">
      <w:pPr>
        <w:pStyle w:val="4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三、分项技术要求</w:t>
      </w:r>
    </w:p>
    <w:p w14:paraId="3C42E096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 w:eastAsia="仿宋" w:cs="仿宋"/>
          <w:color w:val="auto"/>
          <w:sz w:val="28"/>
          <w:lang w:eastAsia="zh-CN"/>
        </w:rPr>
        <w:t>各分项服务的具体要求如下。</w:t>
      </w:r>
    </w:p>
    <w:p w14:paraId="540E45C5">
      <w:pPr>
        <w:pStyle w:val="5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（一）学术文献与教师科研支持服务</w:t>
      </w:r>
    </w:p>
    <w:p w14:paraId="5CF604C3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1. 文献资源。提供基础教育及相关学科的期刊论文、学位论文、会议论文等文献资源，并提供中外文期刊的检索与查证服务，资源持续更新。</w:t>
      </w:r>
    </w:p>
    <w:p w14:paraId="3B4288BA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2. 检索与应用。支持多字段检索和多种检索方式，支持在线阅读、全文下载、收藏、引用导出及原文传递等基本功能，兼容主流文献管理工具。</w:t>
      </w:r>
    </w:p>
    <w:p w14:paraId="25BF3F31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3. 科研支持。提供研究资料管理、文献研读与标注、选题分析、课题协同、投稿选刊建议及学术相似性检测等科研辅助服务。</w:t>
      </w:r>
    </w:p>
    <w:p w14:paraId="20D9AF86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4. 技术服务。提供科研方法指导课程及课题申报、论文写作等模板样例；平台采用云端部署，支持校内外访问和机构统一认证，支持与福州市教育城域网对接，支撑环境符合国产化要求。</w:t>
      </w:r>
    </w:p>
    <w:p w14:paraId="032B5EFB">
      <w:pPr>
        <w:pStyle w:val="5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（二）综合知识资源与数字阅读服务</w:t>
      </w:r>
    </w:p>
    <w:p w14:paraId="6008DDAE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1. 综合知识资源。提供涵盖人文社科、自然科学、工程技术、艺术等领域的期刊论文、学位论文、会议论文、专利、标准、科技成果、法律法规等综合知识资源。</w:t>
      </w:r>
    </w:p>
    <w:p w14:paraId="5A46ECE5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2. 数字阅读与教学资源。提供面向中小学教育教学的数字图书、期刊、微课、视频、有声绘本、专题资源及试卷等资源，支持在线阅读和移动端阅读。</w:t>
      </w:r>
    </w:p>
    <w:p w14:paraId="5B560C43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3. 技术服务。支持与福州市教育城域网及数字化资源平台对接，实现统一入口访问和基于学科知识点的资源关联推送；支持使用人次、浏览量等应用数据统计。</w:t>
      </w:r>
    </w:p>
    <w:p w14:paraId="02E59464">
      <w:pPr>
        <w:pStyle w:val="5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（三）人工智能赋能教学教研服务</w:t>
      </w:r>
    </w:p>
    <w:p w14:paraId="0FD84272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1. 智能检索与资源研读。提供教育类期刊及教学案例等资源，支持智能检索、语义分析、文献在线阅读、全文下载、智能摘要和文献问答等功能。</w:t>
      </w:r>
    </w:p>
    <w:p w14:paraId="04DE1252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2. 教学智能生成与教研支持。支持智能教案、学案、教学素材及课件生成，提供教师专业发展课程资源，支持教研组协同研究与专业学习。</w:t>
      </w:r>
    </w:p>
    <w:p w14:paraId="2332AEB7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3. 教学评价与科研辅助。支持作文智能批改，以及科研选题分析、文献综述生成、论文写作辅助、课题申报书撰写和投稿选刊建议等功能。</w:t>
      </w:r>
    </w:p>
    <w:p w14:paraId="6E8CF12E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4. 技术服务。平台采用云端部署，无需安装客户端，支持校内外访问、机构统一认证及管理统计；须保障数据安全与师生个人信息保护，所提供资源须具备合法版权授权。</w:t>
      </w:r>
    </w:p>
    <w:p w14:paraId="0A464AE8">
      <w:pPr>
        <w:pStyle w:val="5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（四）设计类数字学习资源服务</w:t>
      </w:r>
    </w:p>
    <w:p w14:paraId="16D067B1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1. 设计类课程资源。按行业、软件、难度等维度组织课程资源，覆盖主流设计方向与设计软件，课程按难度分级，支持检索、收藏、倍速播放和字幕学习。</w:t>
      </w:r>
    </w:p>
    <w:p w14:paraId="3990BC8C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2. 素材与设计资源。提供平面设计、插画、模型、材质贴图、后期素材及设计电子书等类别的素材资源，支持在线编辑与下载常用设计模板。</w:t>
      </w:r>
    </w:p>
    <w:p w14:paraId="3FAD5E92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3. 学习路径与拓展资源。提供阶梯式学习路径和配套图文教程、行业资讯，并提供创客、比赛活动等拓展模块，支持学生自主学习、项目创作和作品展示。</w:t>
      </w:r>
    </w:p>
    <w:p w14:paraId="711196B3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4. 服务与培训。提供资源使用的技术支持与培训服务，提供作品展示与交流渠道，支持多终端访问、离线缓存和校外学习。</w:t>
      </w:r>
    </w:p>
    <w:p w14:paraId="58BAC8A6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5. 技术服务。支持网页端、移动端及微信端等多终端访问和多种授权方式，支持与福州市教育城域网对接及使用数据统计，支撑环境符合国产化要求。</w:t>
      </w:r>
    </w:p>
    <w:p w14:paraId="17981578">
      <w:pPr>
        <w:pStyle w:val="4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四、服务期限与质量保证</w:t>
      </w:r>
    </w:p>
    <w:p w14:paraId="389F3CFD">
      <w:pPr>
        <w:spacing w:before="0" w:after="56" w:line="360" w:lineRule="auto"/>
        <w:ind w:firstLine="560"/>
        <w:rPr>
          <w:color w:val="auto"/>
        </w:rPr>
      </w:pPr>
      <w:r>
        <w:rPr>
          <w:rFonts w:ascii="仿宋" w:hAnsi="仿宋"/>
          <w:color w:val="auto"/>
          <w:sz w:val="28"/>
        </w:rPr>
        <w:t xml:space="preserve">1. 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服务期限：自合同签订之日起</w:t>
      </w:r>
      <w:r>
        <w:rPr>
          <w:rFonts w:ascii="仿宋" w:hAnsi="仿宋"/>
          <w:color w:val="auto"/>
          <w:sz w:val="28"/>
        </w:rPr>
        <w:t>1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年。</w:t>
      </w:r>
    </w:p>
    <w:p w14:paraId="5E7CF69B">
      <w:pPr>
        <w:spacing w:before="0" w:after="56" w:line="360" w:lineRule="auto"/>
        <w:ind w:firstLine="560"/>
        <w:rPr>
          <w:color w:val="auto"/>
        </w:rPr>
      </w:pPr>
      <w:r>
        <w:rPr>
          <w:rFonts w:hint="eastAsia" w:ascii="仿宋" w:hAnsi="仿宋"/>
          <w:color w:val="auto"/>
          <w:sz w:val="28"/>
        </w:rPr>
        <w:t>2. 资源更新：服务期内资源持续更新，其中文献类资源做到数据每日更新，课程、素材类资源按年度持续更新，更新进度及时向采购人反馈。</w:t>
      </w:r>
    </w:p>
    <w:p w14:paraId="65546626">
      <w:pPr>
        <w:spacing w:before="0" w:after="56" w:line="360" w:lineRule="auto"/>
        <w:ind w:firstLine="560"/>
        <w:rPr>
          <w:color w:val="auto"/>
        </w:rPr>
      </w:pPr>
      <w:r>
        <w:rPr>
          <w:rFonts w:ascii="仿宋" w:hAnsi="仿宋"/>
          <w:color w:val="auto"/>
          <w:sz w:val="28"/>
        </w:rPr>
        <w:t xml:space="preserve">3. 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服务响应：提供</w:t>
      </w:r>
      <w:r>
        <w:rPr>
          <w:rFonts w:ascii="仿宋" w:hAnsi="仿宋"/>
          <w:color w:val="auto"/>
          <w:sz w:val="28"/>
        </w:rPr>
        <w:t>7×24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小时技术支持，一般问题</w:t>
      </w:r>
      <w:r>
        <w:rPr>
          <w:rFonts w:ascii="仿宋" w:hAnsi="仿宋"/>
          <w:color w:val="auto"/>
          <w:sz w:val="28"/>
        </w:rPr>
        <w:t>2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小时内响应，重大问题</w:t>
      </w:r>
      <w:r>
        <w:rPr>
          <w:rFonts w:ascii="仿宋" w:hAnsi="仿宋"/>
          <w:color w:val="auto"/>
          <w:sz w:val="28"/>
        </w:rPr>
        <w:t>24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小时内解决。</w:t>
      </w:r>
    </w:p>
    <w:p w14:paraId="43716292">
      <w:pPr>
        <w:spacing w:before="0" w:after="56" w:line="360" w:lineRule="auto"/>
        <w:ind w:firstLine="560"/>
        <w:rPr>
          <w:color w:val="auto"/>
        </w:rPr>
      </w:pPr>
      <w:r>
        <w:rPr>
          <w:rFonts w:hint="eastAsia"/>
          <w:color w:val="auto"/>
          <w:sz w:val="28"/>
          <w:lang w:val="en-US" w:eastAsia="zh-CN"/>
        </w:rPr>
        <w:t>4</w:t>
      </w:r>
      <w:r>
        <w:rPr>
          <w:rFonts w:ascii="仿宋" w:hAnsi="仿宋"/>
          <w:color w:val="auto"/>
          <w:sz w:val="28"/>
        </w:rPr>
        <w:t xml:space="preserve">. 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培训服务：服务期内为全市教师提供不少于</w:t>
      </w:r>
      <w:r>
        <w:rPr>
          <w:rFonts w:hint="eastAsia"/>
          <w:color w:val="auto"/>
          <w:sz w:val="28"/>
          <w:lang w:val="en-US" w:eastAsia="zh-CN"/>
        </w:rPr>
        <w:t>2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次线上培训，并提供使用手册与操作视频。</w:t>
      </w:r>
    </w:p>
    <w:p w14:paraId="76932306">
      <w:pPr>
        <w:pStyle w:val="4"/>
        <w:spacing w:before="168" w:after="56" w:line="360" w:lineRule="auto"/>
        <w:ind w:firstLine="0"/>
        <w:rPr>
          <w:color w:val="auto"/>
        </w:rPr>
      </w:pPr>
      <w:r>
        <w:rPr>
          <w:rFonts w:hint="eastAsia" w:ascii="仿宋" w:hAnsi="仿宋" w:eastAsia="仿宋" w:cs="仿宋"/>
          <w:b/>
          <w:color w:val="auto"/>
          <w:sz w:val="28"/>
          <w:lang w:eastAsia="zh-CN"/>
        </w:rPr>
        <w:t>五、其他要求</w:t>
      </w:r>
    </w:p>
    <w:p w14:paraId="5B2CFC5A">
      <w:pPr>
        <w:spacing w:before="0" w:after="56" w:line="360" w:lineRule="auto"/>
        <w:ind w:firstLine="560"/>
        <w:rPr>
          <w:color w:val="auto"/>
        </w:rPr>
      </w:pPr>
      <w:r>
        <w:rPr>
          <w:rFonts w:ascii="仿宋" w:hAnsi="仿宋"/>
          <w:color w:val="auto"/>
          <w:sz w:val="28"/>
        </w:rPr>
        <w:t xml:space="preserve">1. 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本需求所列技术参数与数量为基本要求，供应商可提供不低于本需求标准的服务方案。</w:t>
      </w:r>
    </w:p>
    <w:p w14:paraId="58786F54">
      <w:pPr>
        <w:spacing w:before="0" w:after="56" w:line="360" w:lineRule="auto"/>
        <w:ind w:firstLine="560"/>
        <w:rPr>
          <w:color w:val="auto"/>
        </w:rPr>
      </w:pPr>
      <w:r>
        <w:rPr>
          <w:rFonts w:ascii="仿宋" w:hAnsi="仿宋"/>
          <w:color w:val="auto"/>
          <w:sz w:val="28"/>
        </w:rPr>
        <w:t xml:space="preserve">2. 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供应商须提供完整的服务方案，包括服务内容清单、技术参数、资源配置、服务承诺等。</w:t>
      </w:r>
    </w:p>
    <w:p w14:paraId="42A28B47">
      <w:pPr>
        <w:spacing w:before="0" w:after="56" w:line="360" w:lineRule="auto"/>
        <w:ind w:firstLine="560"/>
        <w:rPr>
          <w:color w:val="auto"/>
        </w:rPr>
      </w:pPr>
      <w:r>
        <w:rPr>
          <w:rFonts w:ascii="仿宋" w:hAnsi="仿宋"/>
          <w:color w:val="auto"/>
          <w:sz w:val="28"/>
        </w:rPr>
        <w:t xml:space="preserve">3. 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供应商须确保所提供的资源与服务不侵犯任何第三方知识产权。</w:t>
      </w:r>
    </w:p>
    <w:p w14:paraId="7AA2C4B3">
      <w:pPr>
        <w:spacing w:before="0" w:after="56" w:line="360" w:lineRule="auto"/>
        <w:ind w:firstLine="560"/>
        <w:jc w:val="left"/>
        <w:rPr>
          <w:color w:val="auto"/>
        </w:rPr>
      </w:pPr>
      <w:r>
        <w:rPr>
          <w:rFonts w:ascii="仿宋" w:hAnsi="仿宋"/>
          <w:color w:val="auto"/>
          <w:sz w:val="28"/>
        </w:rPr>
        <w:t xml:space="preserve">4. </w:t>
      </w:r>
      <w:r>
        <w:rPr>
          <w:rFonts w:hint="eastAsia" w:ascii="仿宋" w:hAnsi="仿宋" w:eastAsia="仿宋" w:cs="仿宋"/>
          <w:color w:val="auto"/>
          <w:sz w:val="28"/>
          <w:lang w:eastAsia="zh-CN"/>
        </w:rPr>
        <w:t>本需求为项目前期市场调研及采购筹备工作的组成部分，最终采购需求以正式采购文件为准。</w:t>
      </w:r>
    </w:p>
    <w:p w14:paraId="05BABB92">
      <w:pPr>
        <w:spacing w:after="56" w:line="360" w:lineRule="auto"/>
        <w:jc w:val="right"/>
        <w:rPr>
          <w:color w:val="auto"/>
        </w:rPr>
      </w:pPr>
      <w:r>
        <w:rPr>
          <w:rFonts w:hint="eastAsia" w:cs="仿宋"/>
          <w:color w:val="auto"/>
          <w:sz w:val="28"/>
          <w:lang w:val="en-US" w:eastAsia="zh-CN"/>
        </w:rPr>
        <w:t xml:space="preserve">                                          </w:t>
      </w:r>
      <w:bookmarkStart w:id="0" w:name="_GoBack"/>
      <w:bookmarkEnd w:id="0"/>
    </w:p>
    <w:sectPr>
      <w:footerReference r:id="rId5" w:type="default"/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MS Mincho">
    <w:panose1 w:val="02020609040205080304"/>
    <w:charset w:val="80"/>
    <w:family w:val="roman"/>
    <w:pitch w:val="default"/>
    <w:sig w:usb0="A00002BF" w:usb1="68C7FCFB" w:usb2="00000010" w:usb3="00000000" w:csb0="4002009F" w:csb1="DFD7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苹方-简">
    <w:altName w:val="宋体"/>
    <w:panose1 w:val="020B0400000000000000"/>
    <w:charset w:val="86"/>
    <w:family w:val="auto"/>
    <w:pitch w:val="default"/>
    <w:sig w:usb0="00000000" w:usb1="00000000" w:usb2="00000017" w:usb3="00000000" w:csb0="00040001" w:csb1="00000000"/>
  </w:font>
  <w:font w:name="Courier New">
    <w:panose1 w:val="02070309020205020404"/>
    <w:charset w:val="00"/>
    <w:family w:val="auto"/>
    <w:pitch w:val="default"/>
    <w:sig w:usb0="E0002EFF" w:usb1="C0007843" w:usb2="00000009" w:usb3="00000000" w:csb0="400001FF" w:csb1="FFFF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6191EF">
    <w:pPr>
      <w:pStyle w:val="24"/>
      <w:tabs>
        <w:tab w:val="center" w:pos="4156"/>
        <w:tab w:val="right" w:pos="8312"/>
      </w:tabs>
    </w:pPr>
    <w:r>
      <w:tab/>
    </w:r>
    <w:r>
      <w:t xml:space="preserve">— </w:t>
    </w:r>
    <w:r>
      <w:fldChar w:fldCharType="begin"/>
    </w:r>
    <w:r>
      <w:instrText xml:space="preserve">PAGE</w:instrText>
    </w:r>
    <w:r>
      <w:fldChar w:fldCharType="separate"/>
    </w:r>
    <w:r>
      <w:fldChar w:fldCharType="end"/>
    </w:r>
    <w:r>
      <w:t xml:space="preserve"> —</w: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06" w:lineRule="auto"/>
      </w:pPr>
      <w:r>
        <w:separator/>
      </w:r>
    </w:p>
  </w:footnote>
  <w:footnote w:type="continuationSeparator" w:id="1">
    <w:p>
      <w:pPr>
        <w:spacing w:before="0" w:after="0" w:line="30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87902AF"/>
    <w:rsid w:val="68A46AD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unhideWhenUsed="0" w:uiPriority="64" w:semiHidden="0" w:name="Medium Shading 2 Accent 4"/>
    <w:lsdException w:qFormat="1" w:unhideWhenUsed="0" w:uiPriority="65" w:semiHidden="0" w:name="Medium List 1 Accent 4"/>
    <w:lsdException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06" w:lineRule="auto"/>
    </w:pPr>
    <w:rPr>
      <w:rFonts w:ascii="仿宋" w:hAnsi="仿宋" w:eastAsia="仿宋" w:cstheme="minorBidi"/>
      <w:color w:val="000000"/>
      <w:sz w:val="28"/>
      <w:szCs w:val="22"/>
      <w:lang w:val="en-US" w:eastAsia="en-US" w:bidi="ar-SA"/>
    </w:rPr>
  </w:style>
  <w:style w:type="paragraph" w:styleId="3">
    <w:name w:val="heading 1"/>
    <w:basedOn w:val="1"/>
    <w:next w:val="1"/>
    <w:link w:val="140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42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39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36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46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45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62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3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4"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63"/>
    <w:unhideWhenUsed/>
    <w:qFormat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59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57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58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56"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53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Book Title"/>
    <w:basedOn w:val="132"/>
    <w:qFormat/>
    <w:uiPriority w:val="33"/>
    <w:rPr>
      <w:b/>
      <w:bCs/>
      <w:smallCaps/>
      <w:spacing w:val="5"/>
    </w:rPr>
  </w:style>
  <w:style w:type="character" w:customStyle="1" w:styleId="136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customStyle="1" w:styleId="137">
    <w:name w:val="TOC Heading"/>
    <w:basedOn w:val="3"/>
    <w:next w:val="1"/>
    <w:semiHidden/>
    <w:unhideWhenUsed/>
    <w:qFormat/>
    <w:uiPriority w:val="39"/>
    <w:pPr>
      <w:outlineLvl w:val="9"/>
    </w:pPr>
  </w:style>
  <w:style w:type="character" w:customStyle="1" w:styleId="138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39">
    <w:name w:val="Heading 3 Char"/>
    <w:basedOn w:val="132"/>
    <w:link w:val="5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0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141">
    <w:name w:val="Quote"/>
    <w:basedOn w:val="1"/>
    <w:next w:val="1"/>
    <w:link w:val="160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2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3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character" w:customStyle="1" w:styleId="144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5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46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47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48">
    <w:name w:val="Intense Quote Char"/>
    <w:basedOn w:val="132"/>
    <w:link w:val="149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149">
    <w:name w:val="Intense Quote"/>
    <w:basedOn w:val="1"/>
    <w:next w:val="1"/>
    <w:link w:val="148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0">
    <w:name w:val="Heading 9 Char"/>
    <w:basedOn w:val="132"/>
    <w:link w:val="11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1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52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3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paragraph" w:styleId="154">
    <w:name w:val="List Paragraph"/>
    <w:basedOn w:val="1"/>
    <w:qFormat/>
    <w:uiPriority w:val="34"/>
    <w:pPr>
      <w:ind w:left="720"/>
      <w:contextualSpacing/>
    </w:pPr>
  </w:style>
  <w:style w:type="character" w:customStyle="1" w:styleId="155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6">
    <w:name w:val="Body Text 2 Char"/>
    <w:basedOn w:val="132"/>
    <w:link w:val="28"/>
    <w:qFormat/>
    <w:uiPriority w:val="99"/>
  </w:style>
  <w:style w:type="character" w:customStyle="1" w:styleId="157">
    <w:name w:val="Header Char"/>
    <w:basedOn w:val="132"/>
    <w:link w:val="25"/>
    <w:qFormat/>
    <w:uiPriority w:val="99"/>
  </w:style>
  <w:style w:type="character" w:customStyle="1" w:styleId="158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159">
    <w:name w:val="Footer Char"/>
    <w:basedOn w:val="132"/>
    <w:link w:val="24"/>
    <w:qFormat/>
    <w:uiPriority w:val="99"/>
  </w:style>
  <w:style w:type="character" w:customStyle="1" w:styleId="160">
    <w:name w:val="Quote Char"/>
    <w:basedOn w:val="132"/>
    <w:link w:val="141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61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2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63">
    <w:name w:val="Body Text Char"/>
    <w:basedOn w:val="132"/>
    <w:link w:val="19"/>
    <w:uiPriority w:val="99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Pages>5</Pages>
  <Words>2097</Words>
  <Characters>2127</Characters>
  <TotalTime>25</TotalTime>
  <ScaleCrop>false</ScaleCrop>
  <LinksUpToDate>false</LinksUpToDate>
  <CharactersWithSpaces>2152</CharactersWithSpaces>
  <Application>WPS Office_12.1.0.20305_F1E327BC-269C-435d-A152-05C5408002CA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2026-09-17T09:25:00Z</dcterms:created>
  <dc:creator>Jimmie_Lin</dc:creator>
  <cp:lastModifiedBy>林志宇</cp:lastModifiedBy>
  <dcterms:modified xsi:type="dcterms:W3CDTF">2026-09-17T01:57:43Z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eyJoZGlkIjoiYjhmNjlmYjI3OWZmZTI0ZTI3MjI1NGQyMGM4ZWI5OTQiLCJ1c2VySWQiOiIxODg1MDU5MTA4In0=</vt:lpwstr>
  </property>
  <property fmtid="{D5CDD505-2E9C-101B-9397-08002B2CF9AE}" pid="3" name="KSOProductBuildVer">
    <vt:lpwstr>2052-12.1.0.20305</vt:lpwstr>
  </property>
  <property fmtid="{D5CDD505-2E9C-101B-9397-08002B2CF9AE}" pid="4" name="ICV">
    <vt:lpwstr>4691DB8C42514C89B8048063EA216C8D_12</vt:lpwstr>
  </property>
</Properties>
</file>